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0"/>
        <w:gridCol w:w="4660"/>
        <w:gridCol w:w="1600"/>
        <w:gridCol w:w="1100"/>
        <w:gridCol w:w="500"/>
        <w:gridCol w:w="1600"/>
        <w:gridCol w:w="1100"/>
        <w:gridCol w:w="1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78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Obiectiv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</w:trPr>
        <w:tc>
          <w:tcPr>
            <w:tcW w:w="7800" w:type="dxa"/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</w:trPr>
        <w:tc>
          <w:tcPr>
            <w:tcW w:w="1110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C7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cuprinzând consumurile cu mâna de lucru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4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exact"/>
        </w:trPr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440" w:type="dxa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466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Denumirea meseriei</w:t>
                  </w:r>
                </w:p>
              </w:tc>
              <w:tc>
                <w:tcPr>
                  <w:tcW w:w="16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Consumul cu manopera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Om/ore -</w:t>
                  </w:r>
                </w:p>
              </w:tc>
              <w:tc>
                <w:tcPr>
                  <w:tcW w:w="16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Tarif mediu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Lei/ora -</w:t>
                  </w:r>
                </w:p>
              </w:tc>
              <w:tc>
                <w:tcPr>
                  <w:tcW w:w="16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Valoarea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2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Procent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romani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50" w:hRule="exac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6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 = 2 X 3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14100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Electrician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27.540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100013002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Inginer sisteme de securitate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alimentare cu apa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76.000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de apa si canalizare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352.210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17130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electrician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193.930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incalzire + gaze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135.850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17160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sanitar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408.716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11611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sanitar categoria I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48.000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17190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Instalator ventilatorist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49.000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17300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Ipsosar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794.970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19900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Mozaicar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28.800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20300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Muncitor calificat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1,098.310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20600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Muncitor de deservire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157.462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20650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Muncitor de deservire pentru montajul in constructii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765.520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20640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Muncitor deservire constructii masini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33.000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20900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Muncitor incarcare-descarcare materiale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3.762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24000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Parchetar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44.040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28100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Tamplar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172.283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100013001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Tehnician pentru sisteme de detectie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31000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Zidar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635.030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31060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Zidar tencuitor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281.930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31110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Zugrav vopsitor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937.750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20000120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Zugrav-vopsitor</w:t>
            </w: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665.500</w:t>
            </w:r>
          </w:p>
        </w:tc>
        <w:tc>
          <w:tcPr>
            <w:tcW w:w="16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51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Ore Manopera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6,910.480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0B7E67EB"/>
    <w:rsid w:val="198E53F7"/>
    <w:rsid w:val="275859A0"/>
    <w:rsid w:val="2E1F2D74"/>
    <w:rsid w:val="36BB1666"/>
    <w:rsid w:val="4A52417C"/>
    <w:rsid w:val="55517A88"/>
    <w:rsid w:val="57245405"/>
    <w:rsid w:val="6E9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739BA2A4C27D4C889CD7127DE66A901D_13</vt:lpwstr>
  </property>
</Properties>
</file>